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default" w:ascii="楷体_GB2312" w:hAnsi="楷体_GB2312" w:eastAsia="楷体_GB2312" w:cs="楷体_GB2312"/>
          <w:color w:val="auto"/>
          <w:kern w:val="0"/>
          <w:sz w:val="44"/>
          <w:szCs w:val="44"/>
          <w:highlight w:val="none"/>
          <w:lang w:val="en-US" w:eastAsia="zh-CN"/>
          <w14:shadow w14:blurRad="38100" w14:dist="19050" w14:dir="2700000" w14:sx="100000" w14:sy="100000" w14:kx="0" w14:ky="0" w14:algn="tl">
            <w14:schemeClr w14:val="dk1">
              <w14:alpha w14:val="60000"/>
            </w14:schemeClr>
          </w14:shadow>
          <w14:props3d w14:extrusionH="0" w14:contourW="0" w14:prstMaterial="clear"/>
        </w:rPr>
      </w:pPr>
      <w:r>
        <w:rPr>
          <w:rFonts w:hint="eastAsia" w:ascii="楷体_GB2312" w:hAnsi="楷体_GB2312" w:eastAsia="楷体_GB2312" w:cs="楷体_GB2312"/>
          <w:color w:val="auto"/>
          <w:kern w:val="0"/>
          <w:sz w:val="44"/>
          <w:szCs w:val="44"/>
          <w:highlight w:val="none"/>
          <w:lang w:val="en-US" w:eastAsia="zh-CN"/>
          <w14:shadow w14:blurRad="38100" w14:dist="19050" w14:dir="2700000" w14:sx="100000" w14:sy="100000" w14:kx="0" w14:ky="0" w14:algn="tl">
            <w14:schemeClr w14:val="dk1">
              <w14:alpha w14:val="60000"/>
            </w14:schemeClr>
          </w14:shadow>
          <w14:props3d w14:extrusionH="0" w14:contourW="0" w14:prstMaterial="clear"/>
        </w:rPr>
        <w:t>香河县人大</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numPr>
          <w:ilvl w:val="0"/>
          <w:numId w:val="0"/>
        </w:numPr>
        <w:spacing w:after="0" w:line="560" w:lineRule="exact"/>
        <w:ind w:firstLine="640" w:firstLineChars="200"/>
        <w:rPr>
          <w:rFonts w:ascii="黑体" w:hAnsi="Calibri" w:eastAsia="黑体"/>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、办公室。</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负责文秘、政务、机要、文书档案管理，机关财务</w:t>
      </w:r>
      <w:r>
        <w:rPr>
          <w:rFonts w:ascii="仿宋" w:hAnsi="仿宋" w:eastAsia="仿宋"/>
          <w:sz w:val="32"/>
          <w:szCs w:val="32"/>
        </w:rPr>
        <w:t xml:space="preserve"> </w:t>
      </w:r>
      <w:r>
        <w:rPr>
          <w:rFonts w:hint="eastAsia" w:ascii="仿宋" w:hAnsi="仿宋" w:eastAsia="仿宋"/>
          <w:sz w:val="32"/>
          <w:szCs w:val="32"/>
        </w:rPr>
        <w:t>，后勤服务，老干部服务和机关在组织协调工作。</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负责起草常委会会议、主任会议及其它重要会议的准备工作，负责会议记录、整理会议纪要。</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负责起草县人大常委会全年工作计划及年度工作总结；负责起草县人大常委会综合性文件，领导讲话的起草、修改、送审、印发及情况反馈；编印《会刊》、《会议纪要》等人大内刊。</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负责人大常委会文件、资料的收发、传递、催办、承办、归档立卷、纪要通信、保密等工作，负责人大常委会及办公室印章管理。</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负责人大代表及群众来信来访工作，接待群众来访，接转群众信访，承办领导批办信访案件，督查、督办信访案件落实情况，总结信访经验，了解民情动向。</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负责机关行政、财务、统计、后勤服务，职工福利、安全保卫、房产、车辆管理、卫生工作。</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承办机关干部、职工退休事宜，做好离退休老干部服务工作。</w:t>
      </w:r>
    </w:p>
    <w:p>
      <w:pPr>
        <w:spacing w:after="0" w:line="24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val="en-US" w:eastAsia="zh-CN"/>
        </w:rPr>
        <w:t>法工委</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负责宪法、法律及地方性法规现在我县的贯彻落实情况和法制建设，法制宣传教育情况的调查研究；对“一府两院”在司法、检察、公安、民政等工作方面贯彻执行有关法律、法规情况的检查和调查，为人大常委会依法监督提供依据。</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负责对“一府两院”向人大常委会提请的法制工作方面的议案初审，并视需要起草决议草案。</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负责“一府两院”提请人大常委会有关法制、民族、宗教等项工作报告的初审工作，为人大常委会审议报告做好准备。</w:t>
      </w:r>
    </w:p>
    <w:p>
      <w:pPr>
        <w:spacing w:after="0" w:line="24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val="en-US" w:eastAsia="zh-CN"/>
        </w:rPr>
        <w:t>财经工委</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负责对经济部门贯彻执行法律、法规情况的调研、检查。</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为县人大长尾夹审议经济部门工作，提出初步意见，起草决议草案。</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对经济方面的重大问题进行调查，提出调查报告。</w:t>
      </w:r>
    </w:p>
    <w:p>
      <w:pPr>
        <w:spacing w:after="0" w:line="24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val="en-US" w:eastAsia="zh-CN"/>
        </w:rPr>
        <w:t>教科文卫委</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负责对县政府在教育、科技、文体、计生等工作方面贯彻执行法律法规的检查和调查研究，为人大常委会依法监督提供依据。</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为县人大常委会审议教科文卫计生工作提出初步意见，起草决议草案。</w:t>
      </w:r>
    </w:p>
    <w:p>
      <w:pPr>
        <w:spacing w:after="0" w:line="240" w:lineRule="auto"/>
        <w:ind w:firstLine="640" w:firstLineChars="200"/>
        <w:rPr>
          <w:rFonts w:ascii="仿宋" w:hAnsi="仿宋" w:eastAsia="仿宋"/>
          <w:b/>
          <w:sz w:val="32"/>
          <w:szCs w:val="32"/>
        </w:rPr>
      </w:pPr>
      <w:r>
        <w:rPr>
          <w:rFonts w:hint="eastAsia" w:ascii="仿宋" w:hAnsi="仿宋" w:eastAsia="仿宋"/>
          <w:sz w:val="32"/>
          <w:szCs w:val="32"/>
        </w:rPr>
        <w:t>对全县教、科、文、卫、计生等方面的重大问题进行调查，提出调查报告。</w:t>
      </w:r>
    </w:p>
    <w:p>
      <w:pPr>
        <w:spacing w:after="0" w:line="24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val="en-US" w:eastAsia="zh-CN"/>
        </w:rPr>
        <w:t>选代任工委</w:t>
      </w:r>
    </w:p>
    <w:p>
      <w:pPr>
        <w:spacing w:after="0" w:line="240" w:lineRule="auto"/>
        <w:ind w:firstLine="640" w:firstLineChars="200"/>
        <w:rPr>
          <w:rFonts w:ascii="仿宋" w:hAnsi="仿宋" w:eastAsia="仿宋"/>
          <w:sz w:val="32"/>
          <w:szCs w:val="32"/>
        </w:rPr>
      </w:pPr>
      <w:r>
        <w:rPr>
          <w:rFonts w:hint="eastAsia" w:ascii="仿宋" w:hAnsi="仿宋" w:eastAsia="仿宋"/>
          <w:sz w:val="32"/>
          <w:szCs w:val="32"/>
        </w:rPr>
        <w:t>负责县人大常委会交办的人民代表选举工作的具体事宜；负责联系、指导各乡镇人大代表的选举和人代会的召开等。</w:t>
      </w:r>
    </w:p>
    <w:p>
      <w:pPr>
        <w:spacing w:after="0" w:line="240" w:lineRule="auto"/>
        <w:ind w:firstLine="640" w:firstLineChars="200"/>
      </w:pPr>
      <w:r>
        <w:rPr>
          <w:rFonts w:hint="eastAsia" w:ascii="仿宋" w:hAnsi="仿宋" w:eastAsia="仿宋"/>
          <w:sz w:val="32"/>
          <w:szCs w:val="32"/>
        </w:rPr>
        <w:t>负责联系县人大代表、组织安排代表活动，掌握代表的变动情况和补选出缺代表事宜；做好代表方案、建议、批评和意见的处理结果的答复。</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bookmarkStart w:id="0" w:name="_GoBack"/>
      <w:bookmarkEnd w:id="0"/>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县人大办公室</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sz w:val="72"/>
        </w:rPr>
        <mc:AlternateContent>
          <mc:Choice Requires="wps">
            <w:drawing>
              <wp:anchor distT="0" distB="0" distL="114300" distR="114300" simplePos="0" relativeHeight="25167462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8896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89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after="0" w:line="600" w:lineRule="exact"/>
        <w:ind w:firstLine="640"/>
        <w:rPr>
          <w:rFonts w:ascii="仿宋" w:hAnsi="仿宋" w:eastAsia="仿宋"/>
          <w:sz w:val="32"/>
          <w:szCs w:val="32"/>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val="en-US" w:eastAsia="zh-CN"/>
        </w:rPr>
        <w:t>入</w:t>
      </w:r>
      <w:r>
        <w:rPr>
          <w:rFonts w:hint="eastAsia" w:ascii="仿宋_GB2312" w:hAnsi="Times New Roman" w:eastAsia="仿宋_GB2312" w:cs="DengXian-Regular"/>
          <w:sz w:val="32"/>
          <w:szCs w:val="32"/>
        </w:rPr>
        <w:t>总计</w:t>
      </w:r>
      <w:r>
        <w:rPr>
          <w:rFonts w:hint="eastAsia" w:ascii="仿宋_GB2312" w:hAnsi="Times New Roman" w:eastAsia="仿宋_GB2312" w:cs="DengXian-Regular"/>
          <w:sz w:val="32"/>
          <w:szCs w:val="32"/>
          <w:lang w:val="en-US" w:eastAsia="zh-CN"/>
        </w:rPr>
        <w:t>910.90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其中结余结转9.90万元，本年收入901.00万元</w:t>
      </w:r>
      <w:r>
        <w:rPr>
          <w:rFonts w:hint="eastAsia" w:ascii="仿宋_GB2312" w:hAnsi="Times New Roman" w:eastAsia="仿宋_GB2312" w:cs="DengXian-Regular"/>
          <w:sz w:val="32"/>
          <w:szCs w:val="32"/>
        </w:rPr>
        <w:t>。2019年度</w:t>
      </w:r>
      <w:r>
        <w:rPr>
          <w:rFonts w:hint="eastAsia" w:ascii="仿宋_GB2312" w:hAnsi="Times New Roman" w:eastAsia="仿宋_GB2312" w:cs="DengXian-Regular"/>
          <w:sz w:val="32"/>
          <w:szCs w:val="32"/>
          <w:lang w:val="en-US" w:eastAsia="zh-CN"/>
        </w:rPr>
        <w:t>支出总计898.79万元，年末结余结转12.12万元；</w:t>
      </w:r>
      <w:r>
        <w:rPr>
          <w:rFonts w:hint="eastAsia" w:ascii="仿宋_GB2312" w:hAnsi="Times New Roman" w:eastAsia="仿宋_GB2312" w:cs="DengXian-Regular"/>
          <w:sz w:val="32"/>
          <w:szCs w:val="32"/>
        </w:rPr>
        <w:t>与201</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年度决算相比，收</w:t>
      </w:r>
      <w:r>
        <w:rPr>
          <w:rFonts w:hint="eastAsia" w:ascii="仿宋_GB2312" w:hAnsi="Times New Roman" w:eastAsia="仿宋_GB2312" w:cs="DengXian-Regular"/>
          <w:sz w:val="32"/>
          <w:szCs w:val="32"/>
          <w:lang w:val="en-US" w:eastAsia="zh-CN"/>
        </w:rPr>
        <w:t>入增加17.16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增加了1.94</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增加了代表履职培训经费；</w:t>
      </w:r>
      <w:r>
        <w:rPr>
          <w:rFonts w:hint="eastAsia" w:ascii="仿宋" w:hAnsi="仿宋" w:eastAsia="仿宋"/>
          <w:sz w:val="32"/>
          <w:szCs w:val="32"/>
        </w:rPr>
        <w:t>本年支出</w:t>
      </w:r>
      <w:r>
        <w:rPr>
          <w:rFonts w:hint="eastAsia" w:ascii="仿宋" w:hAnsi="仿宋" w:eastAsia="仿宋"/>
          <w:sz w:val="32"/>
          <w:szCs w:val="32"/>
          <w:lang w:val="en-US" w:eastAsia="zh-CN"/>
        </w:rPr>
        <w:t>比上年增加46.57</w:t>
      </w:r>
      <w:r>
        <w:rPr>
          <w:rFonts w:hint="eastAsia" w:ascii="仿宋" w:hAnsi="仿宋" w:eastAsia="仿宋"/>
          <w:sz w:val="32"/>
          <w:szCs w:val="32"/>
        </w:rPr>
        <w:t>万元，</w:t>
      </w:r>
      <w:r>
        <w:rPr>
          <w:rFonts w:hint="eastAsia" w:ascii="仿宋" w:hAnsi="仿宋" w:eastAsia="仿宋"/>
          <w:sz w:val="32"/>
          <w:szCs w:val="32"/>
          <w:lang w:val="en-US" w:eastAsia="zh-CN"/>
        </w:rPr>
        <w:t>增加4.52</w:t>
      </w:r>
      <w:r>
        <w:rPr>
          <w:rFonts w:hint="eastAsia" w:ascii="仿宋" w:hAnsi="仿宋" w:eastAsia="仿宋"/>
          <w:sz w:val="32"/>
          <w:szCs w:val="32"/>
        </w:rPr>
        <w:t>%，主要是</w:t>
      </w:r>
      <w:r>
        <w:rPr>
          <w:rFonts w:hint="eastAsia" w:ascii="仿宋" w:hAnsi="仿宋" w:eastAsia="仿宋"/>
          <w:sz w:val="32"/>
          <w:szCs w:val="32"/>
          <w:lang w:val="en-US" w:eastAsia="zh-CN"/>
        </w:rPr>
        <w:t>增加了代表履职能力提升培训支出</w:t>
      </w:r>
      <w:r>
        <w:rPr>
          <w:rFonts w:hint="eastAsia" w:ascii="仿宋" w:hAnsi="仿宋" w:eastAsia="仿宋"/>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901.00</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898.00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99.67</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0.33</w:t>
      </w:r>
      <w:r>
        <w:rPr>
          <w:rFonts w:hint="eastAsia" w:ascii="仿宋_GB2312" w:hAnsi="Times New Roman" w:eastAsia="仿宋_GB2312" w:cs="DengXian-Regular"/>
          <w:sz w:val="32"/>
          <w:szCs w:val="32"/>
        </w:rPr>
        <w:t>%。如图所示</w: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898.79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898.79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after="0" w:line="600" w:lineRule="exact"/>
        <w:ind w:firstLine="64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901</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17.16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1.94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增加了代表履职培训经费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898.79</w:t>
      </w:r>
      <w:r>
        <w:rPr>
          <w:rFonts w:hint="eastAsia" w:ascii="仿宋_GB2312" w:hAnsi="Times New Roman" w:eastAsia="仿宋_GB2312" w:cs="DengXian-Regular"/>
          <w:sz w:val="32"/>
          <w:szCs w:val="32"/>
        </w:rPr>
        <w:t>万元，增加</w:t>
      </w:r>
      <w:r>
        <w:rPr>
          <w:rFonts w:hint="eastAsia" w:ascii="仿宋" w:hAnsi="仿宋" w:eastAsia="仿宋"/>
          <w:sz w:val="32"/>
          <w:szCs w:val="32"/>
          <w:lang w:val="en-US" w:eastAsia="zh-CN"/>
        </w:rPr>
        <w:t>增加4.52</w:t>
      </w:r>
      <w:r>
        <w:rPr>
          <w:rFonts w:hint="eastAsia" w:ascii="仿宋" w:hAnsi="仿宋" w:eastAsia="仿宋"/>
          <w:sz w:val="32"/>
          <w:szCs w:val="32"/>
        </w:rPr>
        <w:t>%，主要是</w:t>
      </w:r>
      <w:r>
        <w:rPr>
          <w:rFonts w:hint="eastAsia" w:ascii="仿宋" w:hAnsi="仿宋" w:eastAsia="仿宋"/>
          <w:sz w:val="32"/>
          <w:szCs w:val="32"/>
          <w:lang w:val="en-US" w:eastAsia="zh-CN"/>
        </w:rPr>
        <w:t>增加了代表履职能力提升培训支出</w:t>
      </w:r>
      <w:r>
        <w:rPr>
          <w:rFonts w:hint="eastAsia" w:ascii="仿宋" w:hAnsi="仿宋" w:eastAsia="仿宋"/>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901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87.06</w:t>
      </w:r>
      <w:r>
        <w:rPr>
          <w:rFonts w:hint="eastAsia" w:ascii="仿宋_GB2312" w:hAnsi="Times New Roman" w:eastAsia="仿宋_GB2312" w:cs="DengXian-Regular"/>
          <w:sz w:val="32"/>
          <w:szCs w:val="32"/>
        </w:rPr>
        <w:t>%（如图</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175.53</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减少了项目支出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898.79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91.61</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82.35</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val="en-US" w:eastAsia="zh-CN"/>
        </w:rPr>
        <w:t>减少了项目支出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898.79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712.51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79.27</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131.29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14.60</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34.52</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3.85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卫生健康支出20.46万元，占2.28%。</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898.79</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668.30</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230.48</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2.62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8.73</w:t>
      </w:r>
      <w:r>
        <w:rPr>
          <w:rFonts w:hint="eastAsia" w:ascii="仿宋_GB2312" w:hAnsi="Times New Roman" w:eastAsia="仿宋_GB2312" w:cs="DengXian-Regular"/>
          <w:sz w:val="32"/>
          <w:szCs w:val="32"/>
        </w:rPr>
        <w:t>%,较预</w:t>
      </w:r>
      <w:r>
        <w:rPr>
          <w:rFonts w:hint="eastAsia" w:ascii="仿宋_GB2312" w:hAnsi="Times New Roman" w:eastAsia="仿宋_GB2312" w:cs="DengXian-Regular"/>
          <w:sz w:val="32"/>
          <w:szCs w:val="32"/>
          <w:lang w:val="en-US" w:eastAsia="zh-CN"/>
        </w:rPr>
        <w:t>算</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27.38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91.27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减少车辆运维费及公务接待费</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0.5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16.39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。具体情况如下：</w:t>
      </w:r>
    </w:p>
    <w:p>
      <w:pPr>
        <w:numPr>
          <w:ilvl w:val="0"/>
          <w:numId w:val="0"/>
        </w:numPr>
        <w:adjustRightInd w:val="0"/>
        <w:snapToGrid w:val="0"/>
        <w:spacing w:line="584" w:lineRule="exact"/>
        <w:ind w:firstLine="643" w:firstLineChars="200"/>
        <w:rPr>
          <w:rFonts w:ascii="仿宋" w:hAnsi="仿宋" w:eastAsia="仿宋"/>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eastAsia="仿宋_GB2312"/>
          <w:sz w:val="32"/>
          <w:szCs w:val="32"/>
        </w:rPr>
        <w:t>本部门</w:t>
      </w:r>
      <w:r>
        <w:rPr>
          <w:rFonts w:eastAsia="仿宋_GB2312"/>
          <w:sz w:val="32"/>
          <w:szCs w:val="32"/>
        </w:rPr>
        <w:t>201</w:t>
      </w:r>
      <w:r>
        <w:rPr>
          <w:rFonts w:hint="eastAsia" w:eastAsia="仿宋_GB2312"/>
          <w:sz w:val="32"/>
          <w:szCs w:val="32"/>
          <w:lang w:val="en-US" w:eastAsia="zh-CN"/>
        </w:rPr>
        <w:t>9</w:t>
      </w:r>
      <w:r>
        <w:rPr>
          <w:rFonts w:hint="eastAsia"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hint="eastAsia" w:ascii="仿宋_GB2312" w:eastAsia="仿宋_GB2312" w:cs="DengXian-Regular"/>
          <w:sz w:val="32"/>
          <w:szCs w:val="32"/>
          <w:lang w:eastAsia="zh-CN"/>
        </w:rPr>
        <w:t>；</w:t>
      </w:r>
      <w:r>
        <w:rPr>
          <w:rFonts w:hint="eastAsia" w:ascii="仿宋_GB2312" w:eastAsia="仿宋_GB2312" w:cs="DengXian-Regular"/>
          <w:sz w:val="32"/>
          <w:szCs w:val="32"/>
        </w:rPr>
        <w:t>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hint="eastAsia" w:ascii="仿宋_GB2312" w:eastAsia="仿宋_GB2312" w:cs="DengXian-Regular"/>
          <w:sz w:val="32"/>
          <w:szCs w:val="32"/>
          <w:lang w:eastAsia="zh-CN"/>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因公出国（境）费支出比年初预算增加（减少）</w:t>
      </w:r>
      <w:r>
        <w:rPr>
          <w:rFonts w:hint="eastAsia" w:eastAsia="仿宋_GB2312"/>
          <w:sz w:val="32"/>
          <w:szCs w:val="32"/>
          <w:lang w:val="en-US" w:eastAsia="zh-CN"/>
        </w:rPr>
        <w:t>0</w:t>
      </w:r>
      <w:r>
        <w:rPr>
          <w:rFonts w:hint="eastAsia"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lang w:val="en-US" w:eastAsia="zh-CN"/>
        </w:rPr>
        <w:t>8</w:t>
      </w:r>
      <w:r>
        <w:rPr>
          <w:rFonts w:hint="eastAsia" w:eastAsia="仿宋_GB2312"/>
          <w:sz w:val="32"/>
          <w:szCs w:val="32"/>
        </w:rPr>
        <w:t>年度决算</w:t>
      </w:r>
      <w:r>
        <w:rPr>
          <w:rFonts w:hint="eastAsia" w:eastAsia="仿宋_GB2312"/>
          <w:sz w:val="32"/>
          <w:szCs w:val="32"/>
          <w:lang w:val="en-US" w:eastAsia="zh-CN"/>
        </w:rPr>
        <w:t>无增减变化。</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2.55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17.95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87.56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16.39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keepNext w:val="0"/>
        <w:keepLines w:val="0"/>
        <w:pageBreakBefore w:val="0"/>
        <w:widowControl w:val="0"/>
        <w:kinsoku/>
        <w:wordWrap/>
        <w:overflowPunct/>
        <w:topLinePunct w:val="0"/>
        <w:autoSpaceDE/>
        <w:autoSpaceDN/>
        <w:bidi w:val="0"/>
        <w:adjustRightInd w:val="0"/>
        <w:snapToGrid w:val="0"/>
        <w:spacing w:after="0" w:line="600" w:lineRule="exact"/>
        <w:ind w:right="0" w:rightChars="0" w:firstLine="643"/>
        <w:jc w:val="both"/>
        <w:textAlignment w:val="auto"/>
        <w:rPr>
          <w:rFonts w:ascii="仿宋" w:hAnsi="仿宋" w:eastAsia="仿宋"/>
          <w:sz w:val="32"/>
          <w:szCs w:val="32"/>
        </w:rPr>
      </w:pPr>
      <w:r>
        <w:rPr>
          <w:rFonts w:hint="eastAsia" w:ascii="仿宋_GB2312" w:hAnsi="Times New Roman" w:eastAsia="仿宋_GB2312" w:cs="DengXian-Regular"/>
          <w:b/>
          <w:sz w:val="32"/>
          <w:szCs w:val="32"/>
        </w:rPr>
        <w:t>公务用车购置费：</w:t>
      </w:r>
      <w:r>
        <w:rPr>
          <w:rFonts w:ascii="仿宋" w:hAnsi="仿宋" w:eastAsia="仿宋"/>
          <w:sz w:val="32"/>
          <w:szCs w:val="32"/>
        </w:rPr>
        <w:t>201</w:t>
      </w:r>
      <w:r>
        <w:rPr>
          <w:rFonts w:hint="eastAsia" w:ascii="仿宋" w:hAnsi="仿宋" w:eastAsia="仿宋"/>
          <w:sz w:val="32"/>
          <w:szCs w:val="32"/>
          <w:lang w:val="en-US" w:eastAsia="zh-CN"/>
        </w:rPr>
        <w:t>9</w:t>
      </w:r>
      <w:r>
        <w:rPr>
          <w:rFonts w:ascii="仿宋" w:hAnsi="仿宋" w:eastAsia="仿宋"/>
          <w:sz w:val="32"/>
          <w:szCs w:val="32"/>
        </w:rPr>
        <w:t>年度无公务用车购置费支出，公务用车购置费支出较年初预算无增</w:t>
      </w:r>
      <w:r>
        <w:rPr>
          <w:rFonts w:hint="eastAsia" w:ascii="仿宋" w:hAnsi="仿宋" w:eastAsia="仿宋"/>
          <w:sz w:val="32"/>
          <w:szCs w:val="32"/>
        </w:rPr>
        <w:t>减</w:t>
      </w:r>
      <w:r>
        <w:rPr>
          <w:rFonts w:ascii="仿宋" w:hAnsi="仿宋" w:eastAsia="仿宋"/>
          <w:sz w:val="32"/>
          <w:szCs w:val="32"/>
        </w:rPr>
        <w:t>变化；较201</w:t>
      </w:r>
      <w:r>
        <w:rPr>
          <w:rFonts w:hint="eastAsia" w:ascii="仿宋" w:hAnsi="仿宋" w:eastAsia="仿宋"/>
          <w:sz w:val="32"/>
          <w:szCs w:val="32"/>
          <w:lang w:val="en-US" w:eastAsia="zh-CN"/>
        </w:rPr>
        <w:t>8</w:t>
      </w:r>
      <w:r>
        <w:rPr>
          <w:rFonts w:ascii="仿宋" w:hAnsi="仿宋" w:eastAsia="仿宋"/>
          <w:sz w:val="32"/>
          <w:szCs w:val="32"/>
        </w:rPr>
        <w:t>年度决算无增</w:t>
      </w:r>
      <w:r>
        <w:rPr>
          <w:rFonts w:hint="eastAsia" w:ascii="仿宋" w:hAnsi="仿宋" w:eastAsia="仿宋"/>
          <w:sz w:val="32"/>
          <w:szCs w:val="32"/>
        </w:rPr>
        <w:t>减</w:t>
      </w:r>
      <w:r>
        <w:rPr>
          <w:rFonts w:ascii="仿宋" w:hAnsi="仿宋" w:eastAsia="仿宋"/>
          <w:sz w:val="32"/>
          <w:szCs w:val="32"/>
        </w:rPr>
        <w:t>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17.95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87.56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16.39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减少了车辆运维费</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0.07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9.43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99.26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公务接待批次减少</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val="en-US" w:eastAsia="zh-CN"/>
        </w:rPr>
        <w:t>增加0.07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增长100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上年度无公务接待</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预算绩效管理工作开展情况。</w:t>
      </w:r>
    </w:p>
    <w:p>
      <w:pPr>
        <w:widowControl/>
        <w:spacing w:after="0"/>
        <w:ind w:firstLine="641"/>
        <w:jc w:val="left"/>
        <w:rPr>
          <w:rFonts w:ascii="仿宋" w:hAnsi="仿宋" w:eastAsia="仿宋" w:cs="仿宋"/>
          <w:bCs/>
          <w:sz w:val="32"/>
          <w:szCs w:val="32"/>
        </w:rPr>
      </w:pPr>
      <w:r>
        <w:rPr>
          <w:rFonts w:hint="eastAsia" w:ascii="仿宋" w:hAnsi="仿宋" w:eastAsia="仿宋" w:cs="DengXian-Regular"/>
          <w:sz w:val="32"/>
          <w:szCs w:val="32"/>
        </w:rPr>
        <w:t>201</w:t>
      </w:r>
      <w:r>
        <w:rPr>
          <w:rFonts w:hint="eastAsia" w:ascii="仿宋" w:hAnsi="仿宋" w:eastAsia="仿宋" w:cs="DengXian-Regular"/>
          <w:sz w:val="32"/>
          <w:szCs w:val="32"/>
          <w:lang w:val="en-US" w:eastAsia="zh-CN"/>
        </w:rPr>
        <w:t>9</w:t>
      </w:r>
      <w:r>
        <w:rPr>
          <w:rFonts w:hint="eastAsia" w:ascii="仿宋" w:hAnsi="仿宋" w:eastAsia="仿宋" w:cs="DengXian-Regular"/>
          <w:sz w:val="32"/>
          <w:szCs w:val="32"/>
        </w:rPr>
        <w:t>年度县</w:t>
      </w:r>
      <w:r>
        <w:rPr>
          <w:rFonts w:hint="eastAsia" w:ascii="仿宋" w:hAnsi="仿宋" w:eastAsia="仿宋" w:cs="宋体"/>
          <w:sz w:val="32"/>
          <w:szCs w:val="32"/>
          <w:lang w:val="en-US" w:eastAsia="zh-CN"/>
        </w:rPr>
        <w:t>人大办公室</w:t>
      </w:r>
      <w:r>
        <w:rPr>
          <w:rFonts w:hint="eastAsia" w:ascii="仿宋" w:hAnsi="仿宋" w:eastAsia="仿宋" w:cs="仿宋"/>
          <w:bCs/>
          <w:kern w:val="0"/>
          <w:sz w:val="32"/>
          <w:szCs w:val="32"/>
        </w:rPr>
        <w:t>认真按照《河北省预算绩效管理办法（试行）》、《河北省财政支出绩效评价管理办法》等制度规定，严格评价标准，准确把握绩效评价的内容与方法，确保评价质量。为了提高财政资金使用效益和效率，实现财政资金的规范性、安全性和有效性，按照《河北省人民政府关于深化推进预算绩效管理的意见》遵循“客观公正、公开透明”的原则，积极开展工作。</w:t>
      </w:r>
    </w:p>
    <w:p>
      <w:pPr>
        <w:widowControl/>
        <w:spacing w:after="0"/>
        <w:ind w:firstLine="641"/>
        <w:jc w:val="left"/>
        <w:rPr>
          <w:rFonts w:ascii="仿宋" w:hAnsi="仿宋" w:eastAsia="仿宋" w:cs="DengXian-Regular"/>
          <w:sz w:val="32"/>
          <w:szCs w:val="32"/>
        </w:rPr>
      </w:pP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一</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制定绩效管理自评方案，进一步明确了评价工作的指导思想、方法步骤，细化了应达到的绩效目标和相应的绩效指标，完善了绩效评价工作体系。二是按照经济性、效率性、有效性的原则，定量分析与定性分析相结合的原则，真实性、科学性、规范性的原则，对重点项目制定绩效评价实施方案和绩效指标评价体系。</w:t>
      </w:r>
    </w:p>
    <w:p>
      <w:pPr>
        <w:adjustRightInd w:val="0"/>
        <w:snapToGrid w:val="0"/>
        <w:spacing w:after="0" w:line="580" w:lineRule="exact"/>
        <w:ind w:firstLine="641"/>
        <w:rPr>
          <w:rFonts w:ascii="仿宋_GB2312" w:eastAsia="仿宋_GB2312" w:cs="DengXian-Regular"/>
          <w:sz w:val="32"/>
          <w:szCs w:val="32"/>
        </w:rPr>
      </w:pPr>
      <w:r>
        <w:rPr>
          <w:rFonts w:hint="eastAsia" w:ascii="楷体" w:hAnsi="楷体" w:eastAsia="楷体" w:cs="DengXian-Regular"/>
          <w:sz w:val="32"/>
          <w:szCs w:val="32"/>
        </w:rPr>
        <w:t>（二）项目绩效</w:t>
      </w:r>
      <w:r>
        <w:rPr>
          <w:rFonts w:hint="eastAsia" w:ascii="楷体" w:hAnsi="楷体" w:eastAsia="楷体" w:cs="宋体"/>
          <w:sz w:val="32"/>
          <w:szCs w:val="32"/>
        </w:rPr>
        <w:t>自评</w:t>
      </w:r>
      <w:r>
        <w:rPr>
          <w:rFonts w:hint="eastAsia" w:ascii="楷体" w:hAnsi="楷体" w:eastAsia="楷体" w:cs="___WRD_EMBED_SUB_39"/>
          <w:sz w:val="32"/>
          <w:szCs w:val="32"/>
        </w:rPr>
        <w:t>结</w:t>
      </w:r>
      <w:r>
        <w:rPr>
          <w:rFonts w:hint="eastAsia" w:ascii="楷体" w:hAnsi="楷体" w:eastAsia="楷体" w:cs="宋体"/>
          <w:sz w:val="32"/>
          <w:szCs w:val="32"/>
        </w:rPr>
        <w:t>果</w:t>
      </w:r>
      <w:r>
        <w:rPr>
          <w:rFonts w:hint="eastAsia" w:ascii="楷体" w:hAnsi="楷体" w:eastAsia="楷体" w:cs="___WRD_EMBED_SUB_39"/>
          <w:sz w:val="32"/>
          <w:szCs w:val="32"/>
        </w:rPr>
        <w:t>。</w:t>
      </w:r>
      <w:r>
        <w:rPr>
          <w:rFonts w:hint="eastAsia" w:ascii="仿宋" w:hAnsi="仿宋" w:eastAsia="仿宋" w:cs="仿宋"/>
          <w:bCs/>
          <w:kern w:val="0"/>
          <w:sz w:val="32"/>
          <w:szCs w:val="32"/>
        </w:rPr>
        <w:t>通过开展201</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年专项项目绩效评价，我部门社会效益良好，绩效综合评价等级“优”。</w:t>
      </w:r>
    </w:p>
    <w:p>
      <w:pPr>
        <w:widowControl/>
        <w:spacing w:after="0"/>
        <w:ind w:firstLine="641"/>
        <w:jc w:val="left"/>
        <w:rPr>
          <w:rFonts w:ascii="仿宋_GB2312" w:hAnsi="仿宋_GB2312" w:eastAsia="仿宋_GB2312" w:cs="仿宋_GB2312"/>
          <w:b/>
          <w:bCs/>
          <w:sz w:val="32"/>
          <w:szCs w:val="32"/>
        </w:rPr>
      </w:pPr>
      <w:r>
        <w:rPr>
          <w:rFonts w:hint="eastAsia" w:ascii="楷体" w:hAnsi="楷体" w:eastAsia="楷体" w:cs="DengXian-Regular"/>
          <w:sz w:val="32"/>
          <w:szCs w:val="32"/>
        </w:rPr>
        <w:t>（三）重</w:t>
      </w:r>
      <w:r>
        <w:rPr>
          <w:rFonts w:hint="eastAsia" w:ascii="楷体" w:hAnsi="楷体" w:eastAsia="楷体" w:cs="宋体"/>
          <w:sz w:val="32"/>
          <w:szCs w:val="32"/>
        </w:rPr>
        <w:t>点</w:t>
      </w:r>
      <w:r>
        <w:rPr>
          <w:rFonts w:hint="eastAsia" w:ascii="楷体" w:hAnsi="楷体" w:eastAsia="楷体" w:cs="___WRD_EMBED_SUB_39"/>
          <w:sz w:val="32"/>
          <w:szCs w:val="32"/>
        </w:rPr>
        <w:t>项目绩效</w:t>
      </w:r>
      <w:r>
        <w:rPr>
          <w:rFonts w:hint="eastAsia" w:ascii="楷体" w:hAnsi="楷体" w:eastAsia="楷体" w:cs="宋体"/>
          <w:sz w:val="32"/>
          <w:szCs w:val="32"/>
        </w:rPr>
        <w:t>评</w:t>
      </w:r>
      <w:r>
        <w:rPr>
          <w:rFonts w:hint="eastAsia" w:ascii="楷体" w:hAnsi="楷体" w:eastAsia="楷体" w:cs="___WRD_EMBED_SUB_39"/>
          <w:sz w:val="32"/>
          <w:szCs w:val="32"/>
        </w:rPr>
        <w:t>价结</w:t>
      </w:r>
      <w:r>
        <w:rPr>
          <w:rFonts w:hint="eastAsia" w:ascii="楷体" w:hAnsi="楷体" w:eastAsia="楷体" w:cs="宋体"/>
          <w:sz w:val="32"/>
          <w:szCs w:val="32"/>
        </w:rPr>
        <w:t>果</w:t>
      </w:r>
      <w:r>
        <w:rPr>
          <w:rFonts w:hint="eastAsia" w:ascii="楷体" w:hAnsi="楷体" w:eastAsia="楷体" w:cs="___WRD_EMBED_SUB_39"/>
          <w:sz w:val="32"/>
          <w:szCs w:val="32"/>
        </w:rPr>
        <w:t>。</w:t>
      </w:r>
      <w:r>
        <w:rPr>
          <w:rFonts w:hint="eastAsia" w:ascii="仿宋" w:hAnsi="仿宋" w:eastAsia="仿宋" w:cs="仿宋"/>
          <w:bCs/>
          <w:kern w:val="0"/>
          <w:sz w:val="32"/>
          <w:szCs w:val="32"/>
        </w:rPr>
        <w:t>通过绩效评价，促进了项目管理水平的提高，进一步完善了规章制度；明确了各项目绩效目标，合理设置内容全面、可操作性强的绩效评价指标，达到了绩效考核的目的。</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227.48</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69.88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44.34</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购置了一批办公家具及对机关办公楼进行了维修改造</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与上年相比无变化</w:t>
      </w:r>
      <w:r>
        <w:rPr>
          <w:rFonts w:hint="eastAsia" w:ascii="仿宋_GB2312" w:hAnsi="Times New Roman" w:eastAsia="仿宋_GB2312" w:cs="DengXian-Regular"/>
          <w:sz w:val="32"/>
          <w:szCs w:val="32"/>
        </w:rPr>
        <w:t>。其中，应急保障用车</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持平，无增减变化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与上年持平，无增减变化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after="0" w:line="600" w:lineRule="exact"/>
        <w:ind w:firstLine="640" w:firstLineChars="200"/>
        <w:rPr>
          <w:rFonts w:ascii="仿宋" w:hAnsi="仿宋" w:eastAsia="仿宋" w:cs="DengXian-Regular"/>
          <w:sz w:val="32"/>
          <w:szCs w:val="32"/>
        </w:rPr>
      </w:pPr>
      <w:r>
        <w:rPr>
          <w:rFonts w:ascii="仿宋" w:hAnsi="仿宋" w:eastAsia="仿宋" w:cs="DengXian-Regular"/>
          <w:sz w:val="32"/>
          <w:szCs w:val="32"/>
        </w:rPr>
        <w:t>1</w:t>
      </w:r>
      <w:r>
        <w:rPr>
          <w:rFonts w:hint="eastAsia" w:ascii="仿宋" w:hAnsi="仿宋" w:eastAsia="仿宋" w:cs="DengXian-Regular"/>
          <w:sz w:val="32"/>
          <w:szCs w:val="32"/>
        </w:rPr>
        <w:t>、本部门</w:t>
      </w:r>
      <w:r>
        <w:rPr>
          <w:rFonts w:ascii="仿宋" w:hAnsi="仿宋" w:eastAsia="仿宋" w:cs="DengXian-Regular"/>
          <w:sz w:val="32"/>
          <w:szCs w:val="32"/>
        </w:rPr>
        <w:t>201</w:t>
      </w:r>
      <w:r>
        <w:rPr>
          <w:rFonts w:hint="eastAsia" w:ascii="仿宋" w:hAnsi="仿宋" w:eastAsia="仿宋" w:cs="DengXian-Regular"/>
          <w:sz w:val="32"/>
          <w:szCs w:val="32"/>
          <w:lang w:val="en-US" w:eastAsia="zh-CN"/>
        </w:rPr>
        <w:t>9</w:t>
      </w:r>
      <w:r>
        <w:rPr>
          <w:rFonts w:hint="eastAsia" w:ascii="仿宋" w:hAnsi="仿宋" w:eastAsia="仿宋" w:cs="DengXian-Regular"/>
          <w:sz w:val="32"/>
          <w:szCs w:val="32"/>
        </w:rPr>
        <w:t>年度无政府性基金预算财政拨款收入、支出及结转和结余；本年度无国有资本经营预算财政拨款支出及结转和结余。故政府性基金预算财政拨款收入支出决算表；国有资本经营预算财政拨款支出决算表以空表列示。</w:t>
      </w:r>
    </w:p>
    <w:p>
      <w:pPr>
        <w:adjustRightInd w:val="0"/>
        <w:snapToGrid w:val="0"/>
        <w:spacing w:after="0" w:line="600" w:lineRule="exact"/>
        <w:ind w:firstLine="640"/>
        <w:rPr>
          <w:rFonts w:ascii="仿宋" w:hAnsi="仿宋" w:eastAsia="仿宋"/>
          <w:sz w:val="32"/>
          <w:szCs w:val="32"/>
        </w:rPr>
      </w:pPr>
      <w:r>
        <w:rPr>
          <w:rFonts w:ascii="仿宋" w:hAnsi="仿宋" w:eastAsia="仿宋"/>
          <w:sz w:val="32"/>
          <w:szCs w:val="32"/>
        </w:rPr>
        <w:t>2、由于决算公开表格中金额数值应当保留两位小数，公开数据为四舍五入计算结果，个别数据合计项与分项之和存在小数点后差额，特此说明。</w:t>
      </w: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8998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99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sz w:val="72"/>
        </w:rPr>
        <mc:AlternateContent>
          <mc:Choice Requires="wps">
            <w:drawing>
              <wp:anchor distT="0" distB="0" distL="114300" distR="114300" simplePos="0" relativeHeight="251691008"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91008;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935"/>
        <w:gridCol w:w="3230"/>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61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0" w:type="dxa"/>
            <w:bottom w:w="0" w:type="dxa"/>
            <w:right w:w="0" w:type="dxa"/>
          </w:tblCellMar>
        </w:tblPrEx>
        <w:trPr>
          <w:trHeight w:val="421" w:hRule="atLeast"/>
          <w:jc w:val="center"/>
        </w:trPr>
        <w:tc>
          <w:tcPr>
            <w:tcW w:w="490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cs="宋体"/>
                <w:color w:val="000000"/>
                <w:kern w:val="0"/>
                <w:szCs w:val="21"/>
                <w:lang w:val="en-US" w:eastAsia="zh-CN"/>
              </w:rPr>
              <w:t>香河县人民代表大会常务委员会办公室（本级）</w:t>
            </w:r>
          </w:p>
        </w:tc>
        <w:tc>
          <w:tcPr>
            <w:tcW w:w="4615"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84" w:hRule="atLeast"/>
          <w:jc w:val="center"/>
        </w:trPr>
        <w:tc>
          <w:tcPr>
            <w:tcW w:w="49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61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898.00</w:t>
            </w: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712.51</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3.00</w:t>
            </w: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901.00</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898.79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9.90</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910.90</w:t>
            </w:r>
          </w:p>
        </w:tc>
        <w:tc>
          <w:tcPr>
            <w:tcW w:w="3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910.90</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2" w:type="dxa"/>
        <w:jc w:val="center"/>
        <w:tblLayout w:type="autofit"/>
        <w:tblCellMar>
          <w:top w:w="0" w:type="dxa"/>
          <w:left w:w="0" w:type="dxa"/>
          <w:bottom w:w="0" w:type="dxa"/>
          <w:right w:w="0" w:type="dxa"/>
        </w:tblCellMar>
      </w:tblPr>
      <w:tblGrid>
        <w:gridCol w:w="565"/>
        <w:gridCol w:w="565"/>
        <w:gridCol w:w="572"/>
        <w:gridCol w:w="2111"/>
        <w:gridCol w:w="1451"/>
        <w:gridCol w:w="1451"/>
        <w:gridCol w:w="843"/>
        <w:gridCol w:w="782"/>
        <w:gridCol w:w="782"/>
        <w:gridCol w:w="782"/>
        <w:gridCol w:w="1419"/>
      </w:tblGrid>
      <w:tr>
        <w:tblPrEx>
          <w:tblCellMar>
            <w:top w:w="0" w:type="dxa"/>
            <w:left w:w="0" w:type="dxa"/>
            <w:bottom w:w="0" w:type="dxa"/>
            <w:right w:w="0" w:type="dxa"/>
          </w:tblCellMar>
        </w:tblPrEx>
        <w:trPr>
          <w:trHeight w:val="670" w:hRule="atLeast"/>
          <w:jc w:val="center"/>
        </w:trPr>
        <w:tc>
          <w:tcPr>
            <w:tcW w:w="9582"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rPr>
          <w:trHeight w:val="357" w:hRule="atLeast"/>
          <w:jc w:val="center"/>
        </w:trPr>
        <w:tc>
          <w:tcPr>
            <w:tcW w:w="6012" w:type="dxa"/>
            <w:gridSpan w:val="7"/>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cs="宋体"/>
                <w:color w:val="000000"/>
                <w:kern w:val="0"/>
                <w:szCs w:val="21"/>
                <w:lang w:val="en-US" w:eastAsia="zh-CN"/>
              </w:rPr>
              <w:t>香河县人民代表大会常务委员会办公室（本级）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8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7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901.00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898.00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lang w:val="en-US" w:eastAsia="zh-CN"/>
              </w:rPr>
            </w:pPr>
            <w:r>
              <w:rPr>
                <w:rFonts w:hint="eastAsia" w:ascii="宋体" w:hAnsi="宋体" w:eastAsia="宋体" w:cs="宋体"/>
                <w:b/>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714.73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人大事务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714.73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711.73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667.85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664.85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人大代表履职能力提升</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29.68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代表工作</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51.13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7108" w:type="dxa"/>
            <w:gridSpan w:val="8"/>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cs="宋体"/>
                <w:color w:val="000000"/>
                <w:kern w:val="0"/>
                <w:szCs w:val="21"/>
                <w:lang w:val="en-US" w:eastAsia="zh-CN"/>
              </w:rPr>
              <w:t>香河县人民代表大会常务委员会办公室（本级）</w:t>
            </w: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898.79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898.79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712.51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712.51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人大事务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712.51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712.51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665.63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人大代表履职能力提升</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29.68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29.68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代表工作</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51.13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866"/>
        <w:gridCol w:w="2325"/>
        <w:gridCol w:w="672"/>
        <w:gridCol w:w="708"/>
        <w:gridCol w:w="840"/>
        <w:gridCol w:w="762"/>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31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7210"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cs="宋体"/>
                <w:color w:val="000000"/>
                <w:kern w:val="0"/>
                <w:szCs w:val="21"/>
                <w:lang w:val="en-US" w:eastAsia="zh-CN"/>
              </w:rPr>
              <w:t>香河县人民代表大会常务委员会办公室（本级）</w:t>
            </w:r>
          </w:p>
        </w:tc>
        <w:tc>
          <w:tcPr>
            <w:tcW w:w="231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21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307"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3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7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70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7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0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898.00</w:t>
            </w: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709.51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709.51</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898.00</w:t>
            </w: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895.79</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895.79</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9.90</w:t>
            </w: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12.12</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12.12</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9.90</w:t>
            </w: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907.90</w:t>
            </w:r>
          </w:p>
        </w:tc>
        <w:tc>
          <w:tcPr>
            <w:tcW w:w="2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6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7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907.90</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907.90</w:t>
            </w:r>
          </w:p>
        </w:tc>
        <w:tc>
          <w:tcPr>
            <w:tcW w:w="7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565"/>
        <w:gridCol w:w="565"/>
        <w:gridCol w:w="572"/>
        <w:gridCol w:w="2349"/>
        <w:gridCol w:w="3227"/>
        <w:gridCol w:w="3080"/>
        <w:gridCol w:w="1444"/>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5726"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cs="宋体"/>
                <w:color w:val="000000"/>
                <w:kern w:val="0"/>
                <w:szCs w:val="21"/>
                <w:lang w:val="en-US" w:eastAsia="zh-CN"/>
              </w:rPr>
              <w:t>香河县人民代表大会常务委员会办公室（本级）</w:t>
            </w: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593"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7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9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7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895.79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895.79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709.51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709.51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人大事务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709.51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709.51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662.63</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662.63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2010107</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人大代表履职能力提升</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29.68</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2010108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代表工作</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7"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51.13</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80.16</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70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23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6633"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cs="宋体"/>
                <w:color w:val="000000"/>
                <w:kern w:val="0"/>
                <w:szCs w:val="21"/>
                <w:lang w:val="en-US" w:eastAsia="zh-CN"/>
              </w:rPr>
              <w:t>香河县人民代表大会常务委员会办公室（本级）</w:t>
            </w: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667.99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227.48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192.35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16.91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188.62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99.24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0.89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0.68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51.13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26.67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20.46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23.07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80.16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0.61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0.10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34.52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26.94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0.32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3.37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38.07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0.07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22.17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3.66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0.32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6.89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28.05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25.70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668.30</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227.48</w:t>
            </w:r>
          </w:p>
        </w:tc>
      </w:tr>
    </w:tbl>
    <w:p>
      <w:r>
        <w:br w:type="page"/>
      </w:r>
    </w:p>
    <w:tbl>
      <w:tblPr>
        <w:tblStyle w:val="6"/>
        <w:tblW w:w="9583" w:type="dxa"/>
        <w:jc w:val="center"/>
        <w:tblLayout w:type="autofit"/>
        <w:tblCellMar>
          <w:top w:w="0" w:type="dxa"/>
          <w:left w:w="0" w:type="dxa"/>
          <w:bottom w:w="0" w:type="dxa"/>
          <w:right w:w="0" w:type="dxa"/>
        </w:tblCellMar>
      </w:tblPr>
      <w:tblGrid>
        <w:gridCol w:w="1630"/>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583"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6446"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cs="宋体"/>
                <w:color w:val="000000"/>
                <w:kern w:val="0"/>
                <w:szCs w:val="21"/>
                <w:lang w:val="en-US" w:eastAsia="zh-CN"/>
              </w:rPr>
              <w:t>香河县人民代表大会常务委员会办公室（本级）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583"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6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63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6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630"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20.50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9.50</w:t>
            </w:r>
          </w:p>
        </w:tc>
      </w:tr>
      <w:tr>
        <w:tblPrEx>
          <w:tblCellMar>
            <w:top w:w="0" w:type="dxa"/>
            <w:left w:w="0" w:type="dxa"/>
            <w:bottom w:w="0" w:type="dxa"/>
            <w:right w:w="0" w:type="dxa"/>
          </w:tblCellMar>
        </w:tblPrEx>
        <w:trPr>
          <w:trHeight w:val="417" w:hRule="atLeast"/>
          <w:jc w:val="center"/>
        </w:trPr>
        <w:tc>
          <w:tcPr>
            <w:tcW w:w="9583"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63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63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63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630"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2.55</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2.55</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4830"/>
        <w:gridCol w:w="36"/>
        <w:gridCol w:w="36"/>
        <w:gridCol w:w="910"/>
        <w:gridCol w:w="617"/>
        <w:gridCol w:w="617"/>
        <w:gridCol w:w="617"/>
        <w:gridCol w:w="617"/>
        <w:gridCol w:w="740"/>
        <w:gridCol w:w="691"/>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香河县人民代表大会常务委员会办公室（本级）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keepNext w:val="0"/>
        <w:keepLines w:val="0"/>
        <w:widowControl/>
        <w:suppressLineNumbers w:val="0"/>
        <w:jc w:val="left"/>
        <w:textAlignment w:val="center"/>
      </w:pPr>
      <w:r>
        <w:rPr>
          <w:rFonts w:hint="eastAsia"/>
          <w:lang w:val="en-US" w:eastAsia="zh-CN"/>
        </w:rPr>
        <w:t>注：本</w:t>
      </w:r>
      <w:r>
        <w:rPr>
          <w:rFonts w:hint="eastAsia" w:ascii="宋体" w:hAnsi="宋体" w:eastAsia="宋体" w:cs="宋体"/>
          <w:i w:val="0"/>
          <w:color w:val="000000"/>
          <w:kern w:val="0"/>
          <w:sz w:val="22"/>
          <w:szCs w:val="22"/>
          <w:u w:val="none"/>
          <w:lang w:val="en-US" w:eastAsia="zh-CN" w:bidi="ar"/>
        </w:rPr>
        <w:t>部门本年度政府性基金预算财政拨款收入、支出及结转和结余情况。本部门本年度无收支及结转结余情况，按要求以空表列示。</w:t>
      </w:r>
      <w:r>
        <w:br w:type="page"/>
      </w:r>
    </w:p>
    <w:tbl>
      <w:tblPr>
        <w:tblStyle w:val="6"/>
        <w:tblW w:w="9406" w:type="dxa"/>
        <w:jc w:val="center"/>
        <w:tblLayout w:type="fixed"/>
        <w:tblCellMar>
          <w:top w:w="0" w:type="dxa"/>
          <w:left w:w="0" w:type="dxa"/>
          <w:bottom w:w="0" w:type="dxa"/>
          <w:right w:w="0" w:type="dxa"/>
        </w:tblCellMar>
      </w:tblPr>
      <w:tblGrid>
        <w:gridCol w:w="4830"/>
        <w:gridCol w:w="36"/>
        <w:gridCol w:w="240"/>
        <w:gridCol w:w="1195"/>
        <w:gridCol w:w="930"/>
        <w:gridCol w:w="1080"/>
        <w:gridCol w:w="1095"/>
      </w:tblGrid>
      <w:tr>
        <w:tblPrEx>
          <w:tblCellMar>
            <w:top w:w="0" w:type="dxa"/>
            <w:left w:w="0" w:type="dxa"/>
            <w:bottom w:w="0" w:type="dxa"/>
            <w:right w:w="0" w:type="dxa"/>
          </w:tblCellMar>
        </w:tblPrEx>
        <w:trPr>
          <w:trHeight w:val="840" w:hRule="atLeast"/>
          <w:jc w:val="center"/>
        </w:trPr>
        <w:tc>
          <w:tcPr>
            <w:tcW w:w="9406"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48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7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483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20"/>
                <w:szCs w:val="20"/>
                <w:lang w:val="en-US" w:eastAsia="zh-CN" w:bidi="ar"/>
              </w:rPr>
              <w:t>香河县人民代表大会常务委员会办公室（本级）</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7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630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310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510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1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630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630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51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0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val="en-US" w:eastAsia="zh-CN"/>
        </w:rPr>
        <w:t>注：</w:t>
      </w:r>
      <w:r>
        <w:rPr>
          <w:rFonts w:hint="eastAsia" w:ascii="宋体" w:hAnsi="宋体" w:eastAsia="宋体" w:cs="宋体"/>
          <w:i w:val="0"/>
          <w:color w:val="000000"/>
          <w:kern w:val="0"/>
          <w:sz w:val="22"/>
          <w:szCs w:val="22"/>
          <w:u w:val="none"/>
          <w:lang w:val="en-US" w:eastAsia="zh-CN" w:bidi="ar"/>
        </w:rPr>
        <w:t>本表反映部门本年度国有资本经营预算财政拨款支出情况。本部门本年度无相关支出情况，按要求以空表列示。</w:t>
      </w:r>
      <w:r>
        <w:br w:type="page"/>
      </w:r>
    </w:p>
    <w:p>
      <w:r>
        <mc:AlternateContent>
          <mc:Choice Requires="wps">
            <w:drawing>
              <wp:anchor distT="0" distB="0" distL="114300" distR="114300" simplePos="0" relativeHeight="25169203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9203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___WRD_EMBED_SUB_39">
    <w:altName w:val="宋体"/>
    <w:panose1 w:val="02010600030101010101"/>
    <w:charset w:val="86"/>
    <w:family w:val="modern"/>
    <w:pitch w:val="default"/>
    <w:sig w:usb0="00000000" w:usb1="00000000" w:usb2="00000000" w:usb3="00000000" w:csb0="0000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769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872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974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076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384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38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3600"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3600;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2576;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6912"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86912;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8793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486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486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588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179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179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281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564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667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9504"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9504;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8480;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0528;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155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155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654D3"/>
    <w:rsid w:val="00DB7153"/>
    <w:rsid w:val="00DB7F05"/>
    <w:rsid w:val="00DE2332"/>
    <w:rsid w:val="00E028C3"/>
    <w:rsid w:val="00E14F77"/>
    <w:rsid w:val="00E3076B"/>
    <w:rsid w:val="00E36978"/>
    <w:rsid w:val="00E82A1E"/>
    <w:rsid w:val="00EA05EC"/>
    <w:rsid w:val="00EC06F4"/>
    <w:rsid w:val="00EE4E36"/>
    <w:rsid w:val="00F665F4"/>
    <w:rsid w:val="00FD225F"/>
    <w:rsid w:val="05B00A30"/>
    <w:rsid w:val="0B011416"/>
    <w:rsid w:val="195861E4"/>
    <w:rsid w:val="2E514854"/>
    <w:rsid w:val="31C2036A"/>
    <w:rsid w:val="31C8455F"/>
    <w:rsid w:val="320D02A5"/>
    <w:rsid w:val="348E566F"/>
    <w:rsid w:val="39D45D16"/>
    <w:rsid w:val="3A226944"/>
    <w:rsid w:val="3A964668"/>
    <w:rsid w:val="3AEE6A48"/>
    <w:rsid w:val="3BF82BCB"/>
    <w:rsid w:val="3C1620AA"/>
    <w:rsid w:val="3D8F080F"/>
    <w:rsid w:val="3DB271F6"/>
    <w:rsid w:val="3EC9065C"/>
    <w:rsid w:val="41060D5C"/>
    <w:rsid w:val="42DA1469"/>
    <w:rsid w:val="44CE1FA4"/>
    <w:rsid w:val="487F73ED"/>
    <w:rsid w:val="4A347EAE"/>
    <w:rsid w:val="4D885289"/>
    <w:rsid w:val="52600405"/>
    <w:rsid w:val="529B4319"/>
    <w:rsid w:val="57773DD6"/>
    <w:rsid w:val="578B79AB"/>
    <w:rsid w:val="5C0B40B5"/>
    <w:rsid w:val="5CCD3FD5"/>
    <w:rsid w:val="61FA5F9D"/>
    <w:rsid w:val="634C14FB"/>
    <w:rsid w:val="64CD6910"/>
    <w:rsid w:val="66B92ACE"/>
    <w:rsid w:val="6789158D"/>
    <w:rsid w:val="67D81BA4"/>
    <w:rsid w:val="6AAF1C96"/>
    <w:rsid w:val="6BEE7F9D"/>
    <w:rsid w:val="712E2BA9"/>
    <w:rsid w:val="730C0148"/>
    <w:rsid w:val="75681757"/>
    <w:rsid w:val="75A346A8"/>
    <w:rsid w:val="79B42BEF"/>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8</TotalTime>
  <ScaleCrop>false</ScaleCrop>
  <LinksUpToDate>false</LinksUpToDate>
  <CharactersWithSpaces>11119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依然</cp:lastModifiedBy>
  <cp:lastPrinted>2020-07-30T02:37:00Z</cp:lastPrinted>
  <dcterms:modified xsi:type="dcterms:W3CDTF">2021-05-31T08:00:47Z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5FA1C3A079F04541903AD10D96F510F9</vt:lpwstr>
  </property>
</Properties>
</file>